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EFB8E" w14:textId="7ED03A6F" w:rsidR="00F70018" w:rsidRDefault="00F70018" w:rsidP="00D12501">
      <w:pPr>
        <w:jc w:val="both"/>
        <w:rPr>
          <w:rFonts w:ascii="Verdana" w:hAnsi="Verdana" w:cs="Calibri"/>
          <w:color w:val="050505"/>
          <w:sz w:val="24"/>
          <w:szCs w:val="24"/>
          <w:shd w:val="clear" w:color="auto" w:fill="FFFFFF"/>
        </w:rPr>
      </w:pPr>
      <w:r w:rsidRPr="00F70018">
        <w:rPr>
          <w:noProof/>
        </w:rPr>
        <w:drawing>
          <wp:inline distT="0" distB="0" distL="0" distR="0" wp14:anchorId="672FDDFB" wp14:editId="5015626A">
            <wp:extent cx="5273040" cy="1699260"/>
            <wp:effectExtent l="0" t="0" r="0" b="0"/>
            <wp:docPr id="124855566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ED702" w14:textId="68484726" w:rsidR="00CA5685" w:rsidRDefault="00CA5685" w:rsidP="00D12501">
      <w:pPr>
        <w:jc w:val="both"/>
        <w:rPr>
          <w:rFonts w:ascii="Verdana" w:hAnsi="Verdana" w:cs="Calibri"/>
          <w:color w:val="050505"/>
          <w:sz w:val="24"/>
          <w:szCs w:val="24"/>
          <w:shd w:val="clear" w:color="auto" w:fill="FFFFFF"/>
        </w:rPr>
      </w:pP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Η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Ε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ι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κον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ι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ή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Επ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ι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χε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ί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ρηση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“</w:t>
      </w:r>
      <w:proofErr w:type="spellStart"/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Let’s</w:t>
      </w:r>
      <w:proofErr w:type="spellEnd"/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Go</w:t>
      </w:r>
      <w:proofErr w:type="spellEnd"/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” </w:t>
      </w:r>
      <w:r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του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Ε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ι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δ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ι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</w:t>
      </w:r>
      <w:r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ού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Γ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υ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μν</w:t>
      </w:r>
      <w:r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ασίου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–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Λ</w:t>
      </w:r>
      <w:r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υκείου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ΕΑΕ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Κωφ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ώ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ν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&amp; </w:t>
      </w:r>
      <w:proofErr w:type="spellStart"/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Β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α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ρηκ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ό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ων</w:t>
      </w:r>
      <w:proofErr w:type="spellEnd"/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Θεσσ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α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λον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ί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κης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απέσπασε το 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1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ο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Βρ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α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βε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ί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ο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“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Οδ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υ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σσ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έα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ς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υ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ρ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ια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ό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πο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>υ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λος</w:t>
      </w:r>
      <w:r w:rsidRPr="00CA5685">
        <w:rPr>
          <w:rFonts w:ascii="Verdana" w:hAnsi="Verdana" w:cs="Segoe UI Historic"/>
          <w:color w:val="050505"/>
          <w:sz w:val="24"/>
          <w:szCs w:val="24"/>
          <w:shd w:val="clear" w:color="auto" w:fill="FFFFFF"/>
        </w:rPr>
        <w:t xml:space="preserve"> 2024” 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στον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19ο Πανελλαδικ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ό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Μαθητικ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ό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Διαγωνισμ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ό</w:t>
      </w:r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«Καλύτερη Εικονική Επιχείρηση 2024» του </w:t>
      </w:r>
      <w:proofErr w:type="spellStart"/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Junior</w:t>
      </w:r>
      <w:proofErr w:type="spellEnd"/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Achievement</w:t>
      </w:r>
      <w:proofErr w:type="spellEnd"/>
      <w:r w:rsidRPr="00CA5685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Greece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. </w:t>
      </w:r>
      <w:r w:rsidR="009073D6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Το Ειδικό Γυμνάσιο-Λύκειο</w:t>
      </w:r>
      <w:r w:rsid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9073D6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Κωφών και </w:t>
      </w:r>
      <w:proofErr w:type="spellStart"/>
      <w:r w:rsidR="009073D6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Βαρηκόων</w:t>
      </w:r>
      <w:proofErr w:type="spellEnd"/>
      <w:r w:rsidR="009073D6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Θεσσαλονίκης είναι το μοναδικό σχολείο Δευτεροβάθμιας Εκπαίδευσης στη Βόρεια Ελλάδα για μαθητές με προβλήματα ακοής. 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Είναι η </w:t>
      </w:r>
      <w:r w:rsidR="006A7F64" w:rsidRP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πρώτη φορά στα 19 χρόνια του JA Greece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που </w:t>
      </w:r>
      <w:r w:rsidR="006A7F64" w:rsidRP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ένα ειδικό σχολείο τερματίζει πρώτο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ανάμεσα στα </w:t>
      </w:r>
      <w:r w:rsidR="006A7F64" w:rsidRP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σχεδόν 600 δημ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όσια</w:t>
      </w:r>
      <w:r w:rsidR="006A7F64" w:rsidRP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 ιδιωτικ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ά</w:t>
      </w:r>
      <w:r w:rsidR="006A7F64" w:rsidRP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 γενικ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ά</w:t>
      </w:r>
      <w:r w:rsidR="006A7F64" w:rsidRP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και επαγγελματικ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ά</w:t>
      </w:r>
      <w:r w:rsidR="006A7F64" w:rsidRP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σχολεί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α</w:t>
      </w:r>
      <w:r w:rsidR="006A7F64" w:rsidRP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6A7F6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που πήραν μέρος στον φετινό διαγωνισμό.</w:t>
      </w:r>
    </w:p>
    <w:p w14:paraId="382DAF64" w14:textId="6528050E" w:rsidR="0082634C" w:rsidRPr="0054548B" w:rsidRDefault="0082634C" w:rsidP="0054548B">
      <w:pPr>
        <w:jc w:val="both"/>
        <w:rPr>
          <w:rFonts w:ascii="Verdana" w:hAnsi="Verdana" w:cs="Calibri"/>
          <w:color w:val="050505"/>
          <w:sz w:val="24"/>
          <w:szCs w:val="24"/>
          <w:shd w:val="clear" w:color="auto" w:fill="FFFFFF"/>
        </w:rPr>
      </w:pP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Η </w:t>
      </w:r>
      <w:proofErr w:type="spellStart"/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Let’s</w:t>
      </w:r>
      <w:proofErr w:type="spellEnd"/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Go</w:t>
      </w:r>
      <w:proofErr w:type="spellEnd"/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καινοτομεί επαναχρησιμοποιώντας και μεταποιώντας επώνυμα τουβλάκια, για την κατασκευή αξεσουάρ μόδας</w:t>
      </w:r>
      <w:r w:rsidR="00E01EB9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7B10D7" w:rsidRPr="0054548B">
        <w:rPr>
          <w:rFonts w:ascii="Verdana" w:hAnsi="Verdana" w:cs="Calibri"/>
          <w:sz w:val="24"/>
          <w:szCs w:val="24"/>
          <w:shd w:val="clear" w:color="auto" w:fill="FFFFFF"/>
        </w:rPr>
        <w:t>τα οποί</w:t>
      </w:r>
      <w:r w:rsidR="0054548B" w:rsidRPr="0054548B">
        <w:rPr>
          <w:rFonts w:ascii="Verdana" w:hAnsi="Verdana" w:cs="Calibri"/>
          <w:sz w:val="24"/>
          <w:szCs w:val="24"/>
          <w:shd w:val="clear" w:color="auto" w:fill="FFFFFF"/>
        </w:rPr>
        <w:t>α</w:t>
      </w:r>
      <w:r w:rsidR="00E01EB9" w:rsidRPr="0054548B">
        <w:rPr>
          <w:rFonts w:ascii="Verdana" w:hAnsi="Verdana" w:cs="Calibri"/>
          <w:sz w:val="24"/>
          <w:szCs w:val="24"/>
          <w:shd w:val="clear" w:color="auto" w:fill="FFFFFF"/>
        </w:rPr>
        <w:t xml:space="preserve"> </w:t>
      </w:r>
      <w:r w:rsidR="00E01EB9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οι πελάτες μπορούν να εξατομικεύσουν</w:t>
      </w:r>
      <w:r w:rsidR="00236CAA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 καθώς και για την κατασκευή του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TriG</w:t>
      </w:r>
      <w:proofErr w:type="spellEnd"/>
      <w:r w:rsidR="009C4EDF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o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, </w:t>
      </w:r>
      <w:r w:rsidR="00236CAA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ενός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συμπεριληπτικ</w:t>
      </w:r>
      <w:r w:rsidR="00236CAA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ού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επιτραπέζιο</w:t>
      </w:r>
      <w:r w:rsidR="00236CAA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υ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παιχν</w:t>
      </w:r>
      <w:r w:rsidR="00236CAA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ιδιού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που απευθύνεται σε </w:t>
      </w:r>
      <w:r w:rsidR="007B10D7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όλους, συμπεριλαμβανομένων των ατόμων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με προβλήματα όρασης</w:t>
      </w:r>
      <w:r w:rsidR="00D12501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και ακοής</w:t>
      </w:r>
      <w:r w:rsidR="00367D8E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. 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Έτσι, η εταιρεία κατασκευάζει προϊόντα </w:t>
      </w:r>
      <w:r w:rsidR="00367D8E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όχι μόνο 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φιλικά προς το περιβάλλον</w:t>
      </w:r>
      <w:r w:rsidR="00D12501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 που ενεργοποιούν τη φαντασία και τη δημιουργικότητα</w:t>
      </w:r>
      <w:r w:rsidR="00367D8E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 υιοθετώντας το μοντέλο της κυκλικής οικονομίας</w:t>
      </w:r>
      <w:r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αλλά </w:t>
      </w:r>
      <w:r w:rsidR="00367D8E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ταυτόχρονα προϊόντα</w:t>
      </w:r>
      <w:r w:rsidR="009C4EDF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, όπως το </w:t>
      </w:r>
      <w:proofErr w:type="spellStart"/>
      <w:r w:rsidR="009C4EDF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TriGo</w:t>
      </w:r>
      <w:proofErr w:type="spellEnd"/>
      <w:r w:rsidR="00236CAA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</w:t>
      </w:r>
      <w:r w:rsidR="00367D8E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9C4EDF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που</w:t>
      </w:r>
      <w:r w:rsidR="00367D8E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δίνουν τη δυνατότητα ίσης συμμετοχής σε όλους</w:t>
      </w:r>
      <w:r w:rsidR="00D12501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 χωρίς αποκλεισμούς, ενισχύοντας τις κοινωνικές σχέσεις και καταρρίπτοντας τα εμπόδια συμπερίληψης</w:t>
      </w:r>
      <w:r w:rsidR="00367D8E" w:rsidRP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. </w:t>
      </w:r>
    </w:p>
    <w:p w14:paraId="6FFBDE17" w14:textId="33648411" w:rsidR="0049723E" w:rsidRDefault="00D12501" w:rsidP="00D12501">
      <w:pPr>
        <w:jc w:val="both"/>
        <w:rPr>
          <w:rFonts w:ascii="Verdana" w:hAnsi="Verdana" w:cs="Calibri"/>
          <w:color w:val="050505"/>
          <w:sz w:val="24"/>
          <w:szCs w:val="24"/>
          <w:shd w:val="clear" w:color="auto" w:fill="FFFFFF"/>
        </w:rPr>
      </w:pP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Οι 5 υπεύθυνες εκπαιδευτικοί, </w:t>
      </w:r>
      <w:r w:rsidRPr="00D12501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Καλλιόπη </w:t>
      </w:r>
      <w:proofErr w:type="spellStart"/>
      <w:r w:rsidRPr="00D12501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Σιβρή</w:t>
      </w:r>
      <w:proofErr w:type="spellEnd"/>
      <w:r w:rsidRPr="00D12501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, Ιωάννα Φωτιάδου, Χριστίνα </w:t>
      </w:r>
      <w:proofErr w:type="spellStart"/>
      <w:r w:rsidRPr="00D12501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Παπαευαγγέλου</w:t>
      </w:r>
      <w:proofErr w:type="spellEnd"/>
      <w:r w:rsidRPr="00D12501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 Όλγα Εμμανουηλίδου, Μαρία Παλπάνη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και οι </w:t>
      </w:r>
      <w:r w:rsidR="0074464F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9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μαθητές και μαθήτριες αφιέρωσαν ατέλειωτες ώρες και προσωπικό κόπο</w:t>
      </w:r>
      <w:r w:rsidR="0054548B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236CAA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δίνοντας </w:t>
      </w:r>
      <w:r w:rsidR="009A269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τον καλύτερο τους εαυτό στην πρώτη προσπάθεια του σχολείου</w:t>
      </w:r>
      <w:r w:rsidR="004A7CC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</w:t>
      </w:r>
      <w:r w:rsidR="009A269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4A7CC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μέσα από μια πρωτότυπη επιχειρηματική πρόταση, να αναδείξει τις δυνατότητες των Κωφών και βαρήκοων μαθητών </w:t>
      </w:r>
      <w:r w:rsidR="00BB1BB4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και τη δυναμική ενός ειδικού σχολείου, παρά τα εμπόδια και τις δυσκολίες που συχνά καλούνται να αντιμετωπίσουν.</w:t>
      </w:r>
      <w:r w:rsidR="004A7CC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Επόμενος σταθμός </w:t>
      </w:r>
      <w:r w:rsidR="001B7DA7" w:rsidRPr="001B7DA7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το Πανευρωπαϊκό Φεστιβάλ Νεανικής Επιχειρηματικότητας @Gen_E 2024</w:t>
      </w:r>
      <w:r w:rsidR="001B7DA7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D5473E" w:rsidRP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στην </w:t>
      </w:r>
      <w:proofErr w:type="spellStart"/>
      <w:r w:rsidR="00D5473E" w:rsidRP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Κατάνια</w:t>
      </w:r>
      <w:proofErr w:type="spellEnd"/>
      <w:r w:rsidR="007B10D7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της Ιταλίας</w:t>
      </w:r>
      <w:r w:rsidR="00D5473E" w:rsidRP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, όπου </w:t>
      </w:r>
      <w:r w:rsid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τ</w:t>
      </w:r>
      <w:r w:rsidR="00D5473E" w:rsidRP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ο όραμ</w:t>
      </w:r>
      <w:r w:rsidR="007B10D7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α</w:t>
      </w:r>
      <w:r w:rsid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της ομάδας</w:t>
      </w:r>
      <w:r w:rsidR="00D5473E" w:rsidRP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είναι να αποδείξ</w:t>
      </w:r>
      <w:r w:rsid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ει</w:t>
      </w:r>
      <w:r w:rsidR="00D5473E" w:rsidRP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στην ευρύτερη ευρωπαϊκή κοινότητα τη μεταμορφωτική </w:t>
      </w:r>
      <w:r w:rsidR="00D5473E" w:rsidRP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lastRenderedPageBreak/>
        <w:t>δύναμη της ένταξης αλλά και τις απεριόριστες δυνατότητες τ</w:t>
      </w:r>
      <w:r w:rsid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ων μαθητών</w:t>
      </w:r>
      <w:r w:rsidR="00D5473E" w:rsidRPr="00D547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. </w:t>
      </w:r>
    </w:p>
    <w:p w14:paraId="6033B45A" w14:textId="322B4F4D" w:rsidR="0049723E" w:rsidRDefault="0049723E" w:rsidP="0049723E">
      <w:pPr>
        <w:jc w:val="both"/>
        <w:rPr>
          <w:rFonts w:ascii="Verdana" w:hAnsi="Verdana" w:cs="Calibri"/>
          <w:color w:val="050505"/>
          <w:sz w:val="24"/>
          <w:szCs w:val="24"/>
          <w:shd w:val="clear" w:color="auto" w:fill="FFFFFF"/>
        </w:rPr>
      </w:pP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Ευχαριστούμε από καρδιάς τον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Εθελοντή/Σύμβουλο Επιχειρηματικότητας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,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Κωνσταντίνο </w:t>
      </w:r>
      <w:proofErr w:type="spellStart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Κάτο</w:t>
      </w:r>
      <w:proofErr w:type="spellEnd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Financial</w:t>
      </w:r>
      <w:proofErr w:type="spellEnd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Services </w:t>
      </w:r>
      <w:proofErr w:type="spellStart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Risk</w:t>
      </w:r>
      <w:proofErr w:type="spellEnd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Management</w:t>
      </w:r>
      <w:proofErr w:type="spellEnd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Consultant</w:t>
      </w:r>
      <w:proofErr w:type="spellEnd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 Εταιρεία ΕΥ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και τον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Inspirational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Mentor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,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Σπύρο </w:t>
      </w:r>
      <w:proofErr w:type="spellStart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Μαγιάτη</w:t>
      </w:r>
      <w:proofErr w:type="spellEnd"/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, Γεν. Γραμματέα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ΔΣ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JA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Greece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,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CTO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&amp;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Co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-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founder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Pr="0049723E"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  <w:t>Workable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για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την</w:t>
      </w:r>
      <w:r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>αμέριστη</w:t>
      </w:r>
      <w:r w:rsidR="00CD18D8" w:rsidRP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 </w:t>
      </w:r>
      <w:r w:rsidR="00CD18D8">
        <w:rPr>
          <w:rFonts w:ascii="Verdana" w:hAnsi="Verdana" w:cs="Calibri"/>
          <w:color w:val="050505"/>
          <w:sz w:val="24"/>
          <w:szCs w:val="24"/>
          <w:shd w:val="clear" w:color="auto" w:fill="FFFFFF"/>
        </w:rPr>
        <w:t xml:space="preserve">στήριξη και καθοδήγηση. </w:t>
      </w:r>
    </w:p>
    <w:p w14:paraId="5EFA07A6" w14:textId="77777777" w:rsidR="001B7DA7" w:rsidRDefault="001B7DA7" w:rsidP="0049723E">
      <w:pPr>
        <w:jc w:val="both"/>
        <w:rPr>
          <w:rFonts w:ascii="Verdana" w:hAnsi="Verdana" w:cs="Calibri"/>
          <w:color w:val="050505"/>
          <w:sz w:val="24"/>
          <w:szCs w:val="24"/>
          <w:shd w:val="clear" w:color="auto" w:fill="FFFFFF"/>
        </w:rPr>
      </w:pPr>
    </w:p>
    <w:p w14:paraId="52E3C8B4" w14:textId="77777777" w:rsidR="002E1F5A" w:rsidRDefault="002E1F5A" w:rsidP="0049723E">
      <w:pPr>
        <w:jc w:val="both"/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</w:pPr>
    </w:p>
    <w:p w14:paraId="1A1EDE96" w14:textId="07977324" w:rsidR="0045211B" w:rsidRDefault="0045211B" w:rsidP="0049723E">
      <w:pPr>
        <w:jc w:val="both"/>
        <w:rPr>
          <w:noProof/>
          <w:lang w:val="en-US"/>
        </w:rPr>
      </w:pPr>
    </w:p>
    <w:p w14:paraId="340F3102" w14:textId="77777777" w:rsidR="002E1F5A" w:rsidRPr="002E1F5A" w:rsidRDefault="002E1F5A" w:rsidP="0049723E">
      <w:pPr>
        <w:jc w:val="both"/>
        <w:rPr>
          <w:rFonts w:ascii="Verdana" w:hAnsi="Verdana" w:cs="Calibri"/>
          <w:color w:val="050505"/>
          <w:sz w:val="24"/>
          <w:szCs w:val="24"/>
          <w:shd w:val="clear" w:color="auto" w:fill="FFFFFF"/>
          <w:lang w:val="en-US"/>
        </w:rPr>
      </w:pPr>
    </w:p>
    <w:sectPr w:rsidR="002E1F5A" w:rsidRPr="002E1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E03E7"/>
    <w:multiLevelType w:val="hybridMultilevel"/>
    <w:tmpl w:val="B808B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1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85"/>
    <w:rsid w:val="0012049F"/>
    <w:rsid w:val="001B7DA7"/>
    <w:rsid w:val="00236CAA"/>
    <w:rsid w:val="002E1F5A"/>
    <w:rsid w:val="00367D8E"/>
    <w:rsid w:val="003A48EE"/>
    <w:rsid w:val="0045211B"/>
    <w:rsid w:val="0049723E"/>
    <w:rsid w:val="004A7CCE"/>
    <w:rsid w:val="004E213C"/>
    <w:rsid w:val="00537B32"/>
    <w:rsid w:val="0054548B"/>
    <w:rsid w:val="005722FF"/>
    <w:rsid w:val="006A7F64"/>
    <w:rsid w:val="0074464F"/>
    <w:rsid w:val="0076786E"/>
    <w:rsid w:val="007B10D7"/>
    <w:rsid w:val="0082634C"/>
    <w:rsid w:val="008D74F1"/>
    <w:rsid w:val="009073D6"/>
    <w:rsid w:val="009A2698"/>
    <w:rsid w:val="009B4A39"/>
    <w:rsid w:val="009C4EDF"/>
    <w:rsid w:val="00B42BD9"/>
    <w:rsid w:val="00BB1BB4"/>
    <w:rsid w:val="00BB5FCE"/>
    <w:rsid w:val="00BB7030"/>
    <w:rsid w:val="00CA5685"/>
    <w:rsid w:val="00CD18D8"/>
    <w:rsid w:val="00D12501"/>
    <w:rsid w:val="00D12F18"/>
    <w:rsid w:val="00D5473E"/>
    <w:rsid w:val="00E01EB9"/>
    <w:rsid w:val="00F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B7D7"/>
  <w15:chartTrackingRefBased/>
  <w15:docId w15:val="{042313AE-2F92-47B3-84D9-C51BA60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A56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56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56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A56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56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56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56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A56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A56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56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A56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A56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A568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A568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A568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A568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A568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A568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A56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A5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A56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A5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A56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A568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A568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A568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A56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A568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A5685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B42BD9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2BD9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7B1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Kirkopoulos</dc:creator>
  <cp:keywords/>
  <dc:description/>
  <cp:lastModifiedBy>mailserver2</cp:lastModifiedBy>
  <cp:revision>3</cp:revision>
  <dcterms:created xsi:type="dcterms:W3CDTF">2024-04-30T19:45:00Z</dcterms:created>
  <dcterms:modified xsi:type="dcterms:W3CDTF">2024-05-01T07:03:00Z</dcterms:modified>
</cp:coreProperties>
</file>